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Centro di Ateneo per i Musei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Giotto, 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202</w:t>
      </w:r>
      <w:r w:rsidDel="00000000" w:rsidR="00000000" w:rsidRPr="00000000">
        <w:rPr>
          <w:rFonts w:ascii="Arial" w:cs="Arial" w:eastAsia="Arial" w:hAnsi="Arial"/>
          <w:b w:val="1"/>
          <w:sz w:val="22"/>
          <w:szCs w:val="22"/>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MEB01 PER L’INDIVIDUAZIONE DI COLLABORATORI PER L’ATTRIBUZIONE DI INCARICHI DI PRESTAZIONE DI LAVORO AUTONOMO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soggetti esterni, cui si procederà esclusivamente in caso di esito negativo della ricognizione interna fra il personale Tecnico Amministrativo dell’Ateneo, per lo svolgimento di visite guidate presso il Museo di Macchine ‘Enrico Bernardi’.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w:t>
      </w:r>
      <w:r w:rsidDel="00000000" w:rsidR="00000000" w:rsidRPr="00000000">
        <w:rPr>
          <w:rFonts w:ascii="Arial" w:cs="Arial" w:eastAsia="Arial" w:hAnsi="Arial"/>
          <w:sz w:val="22"/>
          <w:szCs w:val="22"/>
          <w:rtl w:val="0"/>
        </w:rPr>
        <w:t xml:space="preserve">ai sensi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della normativa vigente;</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69509792"/>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tsZ2Nlvm0yBPKiOXTSsPTfIiBg==">AMUW2mXUhJUiXnMYFi25lUZs7rCbHz9TOESppULGK1e/yr/wY6AtysxgnO8SGDBrCg7djEVw9/UGotcixnHHpl1bUqUjAii4bLSESSMwyQwg49/tp1aWZls=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2022-06-30T10:47:00Z</dcterms:created>
  <dc:creator>PENGOMA</dc:creator>
</cp:coreProperties>
</file>