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Centro di Ateneo per i Musei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Giotto,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202</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MSA0</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L’INDIVIDUAZIONE DI COLLABORATORI PER L’ATTRIBUZIONE DI INCARICHI DI PRESTAZIONE DI LAVORO AUTONOMO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curriculum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soggetti esterni, cui si procederà esclusivamente in caso di esito negativo della ricognizione interna fra il personale Tecnico Amministrativo dell’Ateneo, per lo svolgimento di visite guidate, percorsi didattici e attività laboratoriali sulla musica antica presso il Museo di Scienze Archeologiche e d’Arte, presso le scuole o online.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w:t>
      </w:r>
      <w:r w:rsidDel="00000000" w:rsidR="00000000" w:rsidRPr="00000000">
        <w:rPr>
          <w:rFonts w:ascii="Arial" w:cs="Arial" w:eastAsia="Arial" w:hAnsi="Arial"/>
          <w:sz w:val="22"/>
          <w:szCs w:val="22"/>
          <w:rtl w:val="0"/>
        </w:rPr>
        <w:t xml:space="preserve">ai sensi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normativa vigente;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480139624"/>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VY+xVtb0Oat3ZpF4fS/xIcS1Q==">AMUW2mVbXWeVye3XnR1zxCOGOtsPL17XU0bzRJNuUY4WjPUcBYvKWZ13Oe7zMypugEkUabR2Xm+2JZ7lwx/WjTEslBC5H5bTSzdQS7E3Fm24a4KRVz9XmeM=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2022-06-30T11:27:00Z</dcterms:created>
  <dc:creator>PENGOMA</dc:creator>
</cp:coreProperties>
</file>